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 w:lineRule="auto"/>
        <w:jc w:val="both"/>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8"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7">
      <w:pPr>
        <w:pStyle w:val="Heading1"/>
        <w:spacing w:before="89" w:line="480" w:lineRule="auto"/>
        <w:ind w:left="1635" w:firstLine="0"/>
        <w:rPr/>
      </w:pPr>
      <w:r w:rsidDel="00000000" w:rsidR="00000000" w:rsidRPr="00000000">
        <w:rPr>
          <w:rtl w:val="0"/>
        </w:rPr>
        <w:t xml:space="preserve">BUKU RANCANGAN PENGAJARAN (BRP) MATA KULIAH</w:t>
      </w:r>
    </w:p>
    <w:p w:rsidR="00000000" w:rsidDel="00000000" w:rsidP="00000000" w:rsidRDefault="00000000" w:rsidRPr="00000000" w14:paraId="00000008">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Integrasi Sains dan Matematika</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left="1632" w:right="1631" w:firstLine="0"/>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E">
      <w:pPr>
        <w:ind w:left="1634"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1">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Matematika</w:t>
      </w:r>
    </w:p>
    <w:p w:rsidR="00000000" w:rsidDel="00000000" w:rsidP="00000000" w:rsidRDefault="00000000" w:rsidRPr="00000000" w14:paraId="00000012">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Depok</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tbl>
      <w:tblPr>
        <w:tblStyle w:val="Table1"/>
        <w:tblW w:w="1413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147"/>
        <w:gridCol w:w="3730"/>
        <w:gridCol w:w="2127"/>
        <w:gridCol w:w="2362"/>
        <w:gridCol w:w="2049"/>
        <w:gridCol w:w="1530"/>
        <w:tblGridChange w:id="0">
          <w:tblGrid>
            <w:gridCol w:w="2188"/>
            <w:gridCol w:w="147"/>
            <w:gridCol w:w="3730"/>
            <w:gridCol w:w="2127"/>
            <w:gridCol w:w="2362"/>
            <w:gridCol w:w="2049"/>
            <w:gridCol w:w="1530"/>
          </w:tblGrid>
        </w:tblGridChange>
      </w:tblGrid>
      <w:tr>
        <w:trPr>
          <w:cantSplit w:val="0"/>
          <w:trHeight w:val="1996" w:hRule="atLeast"/>
          <w:tblHeader w:val="0"/>
        </w:trPr>
        <w:tc>
          <w:tcPr>
            <w:shd w:fill="d0cece"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59695</wp:posOffset>
                  </wp:positionH>
                  <wp:positionV relativeFrom="paragraph">
                    <wp:posOffset>0</wp:posOffset>
                  </wp:positionV>
                  <wp:extent cx="1130335" cy="1182243"/>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0335" cy="1182243"/>
                          </a:xfrm>
                          <a:prstGeom prst="rect"/>
                          <a:ln/>
                        </pic:spPr>
                      </pic:pic>
                    </a:graphicData>
                  </a:graphic>
                </wp:anchor>
              </w:drawing>
            </w:r>
          </w:p>
        </w:tc>
        <w:tc>
          <w:tcPr>
            <w:gridSpan w:val="6"/>
            <w:shd w:fill="d0cece"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48"/>
                <w:szCs w:val="48"/>
              </w:rPr>
            </w:pPr>
            <w:r w:rsidDel="00000000" w:rsidR="00000000" w:rsidRPr="00000000">
              <w:rPr>
                <w:rFonts w:ascii="Times New Roman" w:cs="Times New Roman" w:eastAsia="Times New Roman" w:hAnsi="Times New Roman"/>
                <w:b w:val="1"/>
                <w:color w:val="000000"/>
                <w:sz w:val="48"/>
                <w:szCs w:val="48"/>
                <w:rtl w:val="0"/>
              </w:rPr>
              <w:t xml:space="preserve">UNIVERSITAS INDONESIA</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FAKULTAS MATEMATIKA DAN ILMU PENGETAHUAN ALAM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color w:val="000000"/>
                <w:sz w:val="40"/>
                <w:szCs w:val="40"/>
                <w:rtl w:val="0"/>
              </w:rPr>
              <w:t xml:space="preserve">PROGRAM STUDI </w:t>
            </w:r>
            <w:r w:rsidDel="00000000" w:rsidR="00000000" w:rsidRPr="00000000">
              <w:rPr>
                <w:rFonts w:ascii="Times New Roman" w:cs="Times New Roman" w:eastAsia="Times New Roman" w:hAnsi="Times New Roman"/>
                <w:b w:val="1"/>
                <w:sz w:val="40"/>
                <w:szCs w:val="40"/>
                <w:rtl w:val="0"/>
              </w:rPr>
              <w:t xml:space="preserve">DOKTOR MATEMATIKA</w:t>
            </w:r>
            <w:r w:rsidDel="00000000" w:rsidR="00000000" w:rsidRPr="00000000">
              <w:rPr>
                <w:rtl w:val="0"/>
              </w:rPr>
            </w:r>
          </w:p>
        </w:tc>
      </w:tr>
      <w:tr>
        <w:trPr>
          <w:cantSplit w:val="0"/>
          <w:trHeight w:val="338" w:hRule="atLeast"/>
          <w:tblHeader w:val="0"/>
        </w:trPr>
        <w:tc>
          <w:tcPr>
            <w:gridSpan w:val="7"/>
            <w:shd w:fill="d0cece"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BUKU RANCANGAN PENGAJARAN</w:t>
            </w:r>
            <w:r w:rsidDel="00000000" w:rsidR="00000000" w:rsidRPr="00000000">
              <w:rPr>
                <w:rtl w:val="0"/>
              </w:rPr>
            </w:r>
          </w:p>
        </w:tc>
      </w:tr>
      <w:tr>
        <w:trPr>
          <w:cantSplit w:val="0"/>
          <w:trHeight w:val="994" w:hRule="atLeast"/>
          <w:tblHeader w:val="0"/>
        </w:trPr>
        <w:tc>
          <w:tcPr>
            <w:gridSpan w:val="2"/>
            <w:shd w:fill="d0cece"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MATA KULIAH (MK) </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Integerasi Sains dan Matematika</w:t>
            </w:r>
            <w:r w:rsidDel="00000000" w:rsidR="00000000" w:rsidRPr="00000000">
              <w:rPr>
                <w:rtl w:val="0"/>
              </w:rPr>
            </w:r>
          </w:p>
        </w:tc>
        <w:tc>
          <w:tcPr>
            <w:shd w:fill="d0cece"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BOBOT (sks) </w:t>
            </w:r>
            <w:r w:rsidDel="00000000" w:rsidR="00000000" w:rsidRPr="00000000">
              <w:rPr>
                <w:rtl w:val="0"/>
              </w:rPr>
            </w:r>
          </w:p>
        </w:tc>
        <w:tc>
          <w:tcPr>
            <w:shd w:fill="d0cece"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MK yang menjadi prasyarat</w:t>
            </w:r>
          </w:p>
        </w:tc>
        <w:tc>
          <w:tcPr>
            <w:shd w:fill="d0cece"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Menjadi prasyarat untuk MK</w:t>
            </w:r>
            <w:r w:rsidDel="00000000" w:rsidR="00000000" w:rsidRPr="00000000">
              <w:rPr>
                <w:rtl w:val="0"/>
              </w:rPr>
            </w:r>
          </w:p>
        </w:tc>
        <w:tc>
          <w:tcPr>
            <w:shd w:fill="d0cece" w:val="cle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Integrasi Antar MK</w:t>
            </w: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KODE</w:t>
            </w:r>
            <w:r w:rsidDel="00000000" w:rsidR="00000000" w:rsidRPr="00000000">
              <w:rPr>
                <w:rtl w:val="0"/>
              </w:rPr>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SCSC900001</w:t>
            </w:r>
            <w:r w:rsidDel="00000000" w:rsidR="00000000" w:rsidRPr="00000000">
              <w:rPr>
                <w:rtl w:val="0"/>
              </w:rPr>
            </w:r>
          </w:p>
        </w:tc>
        <w:tc>
          <w:tcPr>
            <w:vMerge w:val="restart"/>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tl w:val="0"/>
              </w:rPr>
            </w:r>
          </w:p>
        </w:tc>
        <w:tc>
          <w:tcPr>
            <w:vMerge w:val="restart"/>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Rumpun MK </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Semester</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94" w:hRule="atLeast"/>
          <w:tblHeader w:val="0"/>
        </w:trPr>
        <w:tc>
          <w:tcPr>
            <w:gridSpan w:val="2"/>
            <w:shd w:fill="d0cece"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Dosen Pengampu</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Alhadi Bustamam;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Vivi Fauzia ;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Yuni K;</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Dimiyati;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Budiawan;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Anom Bowo Laksono</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r>
        <w:trPr>
          <w:cantSplit w:val="0"/>
          <w:trHeight w:val="999" w:hRule="atLeast"/>
          <w:tblHeader w:val="0"/>
        </w:trPr>
        <w:tc>
          <w:tcPr>
            <w:gridSpan w:val="2"/>
            <w:shd w:fill="d0cece"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Deskripsi Mata Kuliah</w:t>
            </w:r>
            <w:r w:rsidDel="00000000" w:rsidR="00000000" w:rsidRPr="00000000">
              <w:rPr>
                <w:rtl w:val="0"/>
              </w:rPr>
            </w:r>
          </w:p>
        </w:tc>
        <w:tc>
          <w:tcPr>
            <w:gridSpan w:val="5"/>
            <w:vAlign w:val="center"/>
          </w:tcPr>
          <w:p w:rsidR="00000000" w:rsidDel="00000000" w:rsidP="00000000" w:rsidRDefault="00000000" w:rsidRPr="00000000" w14:paraId="00000050">
            <w:pPr>
              <w:spacing w:after="40"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Mata kuliah ini menggabungkan berbagai disiplin ilmu bidang sains dan matematika untuk memberikan pemahaman komprehensif tentang penyelesaian suatu masalah keilmuan. Mata kuliah merupakan studi lintas batas yang tidak dapat dibatasi pada satu disiplin akademis saja. Fokusnya adalah menjelaskan cara menggunakan prinsip-prinsip matematika dan sains untuk memahami, menganalisis, dan menjelaskan berbagai permasalahan keilmuan secara multi-disiplin. Mata kuliah ini bertujuan untuk membantu mahasiswa mengembangkan keterampilan analitis, pemecahan masalah, dan pemikiran kritis yang diperlukan untuk mengatasi tantangan dalam ilmu pengetahuan modern. Ini juga membantu mereka memahami hubungan erat antara matematika dan sains, serta relevansi matematika dalam pemahaman dan penelitian di berbagai bidang ilmu pengetahuan.</w:t>
            </w:r>
          </w:p>
        </w:tc>
      </w:tr>
      <w:tr>
        <w:trPr>
          <w:cantSplit w:val="0"/>
          <w:trHeight w:val="70" w:hRule="atLeast"/>
          <w:tblHeader w:val="0"/>
        </w:trPr>
        <w:tc>
          <w:tcPr>
            <w:gridSpan w:val="2"/>
            <w:shd w:fill="d0cece" w:val="cle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Tautan Kelas Daring</w:t>
            </w:r>
          </w:p>
        </w:tc>
        <w:tc>
          <w:tcPr>
            <w:gridSpan w:val="5"/>
            <w:vAlign w:val="center"/>
          </w:tcPr>
          <w:p w:rsidR="00000000" w:rsidDel="00000000" w:rsidP="00000000" w:rsidRDefault="00000000" w:rsidRPr="00000000" w14:paraId="00000057">
            <w:pPr>
              <w:spacing w:line="300" w:lineRule="auto"/>
              <w:ind w:left="-13"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219" w:hRule="atLeast"/>
          <w:tblHeader w:val="0"/>
        </w:trPr>
        <w:tc>
          <w:tcPr>
            <w:gridSpan w:val="7"/>
            <w:shd w:fill="767171"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08" w:hRule="atLeast"/>
          <w:tblHeader w:val="0"/>
        </w:trPr>
        <w:tc>
          <w:tcPr>
            <w:gridSpan w:val="7"/>
            <w:shd w:fill="d0cece"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8"/>
                <w:szCs w:val="28"/>
                <w:rtl w:val="0"/>
              </w:rPr>
              <w:t xml:space="preserve">CPL-PRODI </w:t>
            </w:r>
            <w:r w:rsidDel="00000000" w:rsidR="00000000" w:rsidRPr="00000000">
              <w:rPr>
                <w:rFonts w:ascii="Times New Roman" w:cs="Times New Roman" w:eastAsia="Times New Roman" w:hAnsi="Times New Roman"/>
                <w:color w:val="000000"/>
                <w:sz w:val="28"/>
                <w:szCs w:val="28"/>
                <w:rtl w:val="0"/>
              </w:rPr>
              <w:t xml:space="preserve">yang dibebankan pada MK </w:t>
            </w:r>
            <w:r w:rsidDel="00000000" w:rsidR="00000000" w:rsidRPr="00000000">
              <w:rPr>
                <w:rtl w:val="0"/>
              </w:rPr>
            </w:r>
          </w:p>
        </w:tc>
      </w:tr>
      <w:tr>
        <w:trPr>
          <w:cantSplit w:val="0"/>
          <w:trHeight w:val="288" w:hRule="atLeast"/>
          <w:tblHeader w:val="0"/>
        </w:trPr>
        <w:tc>
          <w:tcPr>
            <w:gridSpan w:val="2"/>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CPL-1</w:t>
            </w:r>
          </w:p>
        </w:tc>
        <w:tc>
          <w:tcPr>
            <w:gridSpan w:val="5"/>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sikap terbuka dan tanggap dalam perkembangan matematika dan terapannya sesuai etika akademis. </w:t>
            </w:r>
          </w:p>
        </w:tc>
      </w:tr>
      <w:tr>
        <w:trPr>
          <w:cantSplit w:val="0"/>
          <w:trHeight w:val="100" w:hRule="atLeast"/>
          <w:tblHeader w:val="0"/>
        </w:trPr>
        <w:tc>
          <w:tcPr>
            <w:gridSpan w:val="2"/>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CPL-8</w:t>
            </w:r>
          </w:p>
        </w:tc>
        <w:tc>
          <w:tcPr>
            <w:gridSpan w:val="5"/>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menyelesaikan permasalahan yang kompleks khususnya di bidang perkotaan dan masyarakat cerdas berdasarkan pendekatan interdisiplin. </w:t>
            </w:r>
          </w:p>
        </w:tc>
      </w:tr>
      <w:tr>
        <w:trPr>
          <w:cantSplit w:val="0"/>
          <w:trHeight w:val="479" w:hRule="atLeast"/>
          <w:tblHeader w:val="0"/>
        </w:trPr>
        <w:tc>
          <w:tcPr>
            <w:gridSpan w:val="7"/>
            <w:shd w:fill="d0cece"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8"/>
                <w:szCs w:val="28"/>
                <w:rtl w:val="0"/>
              </w:rPr>
              <w:t xml:space="preserve">Capaian Pembelajaran Mata Kuliah (CPMK) </w:t>
            </w:r>
            <w:r w:rsidDel="00000000" w:rsidR="00000000" w:rsidRPr="00000000">
              <w:rPr>
                <w:rtl w:val="0"/>
              </w:rPr>
            </w:r>
          </w:p>
        </w:tc>
      </w:tr>
      <w:tr>
        <w:trPr>
          <w:cantSplit w:val="0"/>
          <w:trHeight w:val="504" w:hRule="atLeast"/>
          <w:tblHeader w:val="0"/>
        </w:trPr>
        <w:tc>
          <w:tcPr>
            <w:gridSpan w:val="2"/>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CPMK</w:t>
            </w:r>
          </w:p>
        </w:tc>
        <w:tc>
          <w:tcPr>
            <w:gridSpan w:val="5"/>
            <w:vAlign w:val="center"/>
          </w:tcPr>
          <w:p w:rsidR="00000000" w:rsidDel="00000000" w:rsidP="00000000" w:rsidRDefault="00000000" w:rsidRPr="00000000" w14:paraId="00000081">
            <w:pPr>
              <w:widowControl w:val="0"/>
              <w:spacing w:before="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mengintegrasikan berbagai disiplin ilmu sains dan matematika guna memberikan pemahaman yang komprehensif dalam menyelesaikan masalah keilmuan secara multi-disiplin.</w:t>
            </w:r>
          </w:p>
        </w:tc>
      </w:tr>
      <w:tr>
        <w:trPr>
          <w:cantSplit w:val="0"/>
          <w:trHeight w:val="464" w:hRule="atLeast"/>
          <w:tblHeader w:val="0"/>
        </w:trPr>
        <w:tc>
          <w:tcPr>
            <w:gridSpan w:val="7"/>
            <w:shd w:fill="d0cece" w:val="cle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d1cece" w:val="clea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8"/>
                <w:szCs w:val="28"/>
                <w:rtl w:val="0"/>
              </w:rPr>
              <w:t xml:space="preserve">Sub-CPMK </w:t>
            </w:r>
            <w:r w:rsidDel="00000000" w:rsidR="00000000" w:rsidRPr="00000000">
              <w:rPr>
                <w:rtl w:val="0"/>
              </w:rPr>
            </w:r>
          </w:p>
        </w:tc>
      </w:tr>
      <w:tr>
        <w:trPr>
          <w:cantSplit w:val="0"/>
          <w:trHeight w:val="452" w:hRule="atLeast"/>
          <w:tblHeader w:val="0"/>
        </w:trPr>
        <w:tc>
          <w:tcPr>
            <w:gridSpan w:val="2"/>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 CPMK 1</w:t>
            </w:r>
          </w:p>
        </w:tc>
        <w:tc>
          <w:tcPr>
            <w:gridSpan w:val="5"/>
            <w:vAlign w:val="center"/>
          </w:tcPr>
          <w:p w:rsidR="00000000" w:rsidDel="00000000" w:rsidP="00000000" w:rsidRDefault="00000000" w:rsidRPr="00000000" w14:paraId="0000008F">
            <w:pPr>
              <w:widowControl w:val="0"/>
              <w:spacing w:before="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menerapkan pemikiran logis, kritis, sistematis, dan kreatif pada bidang ilmu pengetahuan dan teknologi yang sesuai dengan bidang kompetensi matematika (C3)</w:t>
            </w:r>
          </w:p>
        </w:tc>
      </w:tr>
      <w:tr>
        <w:trPr>
          <w:cantSplit w:val="0"/>
          <w:trHeight w:val="452" w:hRule="atLeast"/>
          <w:tblHeader w:val="0"/>
        </w:trPr>
        <w:tc>
          <w:tcPr>
            <w:gridSpan w:val="2"/>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 CPMK 2</w:t>
            </w:r>
          </w:p>
        </w:tc>
        <w:tc>
          <w:tcPr>
            <w:gridSpan w:val="5"/>
            <w:vAlign w:val="center"/>
          </w:tcPr>
          <w:p w:rsidR="00000000" w:rsidDel="00000000" w:rsidP="00000000" w:rsidRDefault="00000000" w:rsidRPr="00000000" w14:paraId="00000096">
            <w:pPr>
              <w:widowControl w:val="0"/>
              <w:spacing w:before="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menyusun rekomendasi masalah keilmuan dan pembangunan berkelanjutan berdasarkan hasil kajian yang komprehensif dengan melibatkan berbagai bidang dalam lingkup matematika dan sains (C6)</w:t>
            </w:r>
          </w:p>
        </w:tc>
      </w:tr>
      <w:tr>
        <w:trPr>
          <w:cantSplit w:val="0"/>
          <w:trHeight w:val="452" w:hRule="atLeast"/>
          <w:tblHeader w:val="0"/>
        </w:trPr>
        <w:tc>
          <w:tcPr>
            <w:gridSpan w:val="2"/>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 CPMK 3</w:t>
            </w:r>
          </w:p>
        </w:tc>
        <w:tc>
          <w:tcPr>
            <w:gridSpan w:val="5"/>
            <w:vAlign w:val="center"/>
          </w:tcPr>
          <w:p w:rsidR="00000000" w:rsidDel="00000000" w:rsidP="00000000" w:rsidRDefault="00000000" w:rsidRPr="00000000" w14:paraId="0000009D">
            <w:pPr>
              <w:widowControl w:val="0"/>
              <w:spacing w:before="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beradaptasi dengan perkembangan ilmu terkini dengan senantiasa belajar hal-hal baru yang relevan dengan pekerjaan atau profesi apapun (C4)</w:t>
            </w:r>
          </w:p>
        </w:tc>
      </w:tr>
      <w:tr>
        <w:trPr>
          <w:cantSplit w:val="0"/>
          <w:trHeight w:val="98" w:hRule="atLeast"/>
          <w:tblHeader w:val="0"/>
        </w:trPr>
        <w:tc>
          <w:tcPr>
            <w:gridSpan w:val="7"/>
            <w:shd w:fill="7f7f7f"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568" w:hRule="atLeast"/>
          <w:tblHeader w:val="0"/>
        </w:trPr>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Bahan Kajian: </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Materi pembelajaran</w:t>
            </w:r>
          </w:p>
        </w:tc>
        <w:tc>
          <w:tcPr>
            <w:gridSpan w:val="5"/>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Energi Baru Terbarukan</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Konservasi Lingkungan</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Keamanan Pangan</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Mitigasi Kesehatan </w:t>
            </w:r>
          </w:p>
        </w:tc>
      </w:tr>
    </w:tbl>
    <w:p w:rsidR="00000000" w:rsidDel="00000000" w:rsidP="00000000" w:rsidRDefault="00000000" w:rsidRPr="00000000" w14:paraId="000000B4">
      <w:pPr>
        <w:jc w:val="center"/>
        <w:rPr>
          <w:rFonts w:ascii="Times New Roman" w:cs="Times New Roman" w:eastAsia="Times New Roman" w:hAnsi="Times New Roman"/>
          <w:color w:val="000000"/>
          <w:sz w:val="2"/>
          <w:szCs w:val="2"/>
          <w:highlight w:val="black"/>
        </w:rPr>
      </w:pPr>
      <w:r w:rsidDel="00000000" w:rsidR="00000000" w:rsidRPr="00000000">
        <w:rPr>
          <w:rFonts w:ascii="Times New Roman" w:cs="Times New Roman" w:eastAsia="Times New Roman" w:hAnsi="Times New Roman"/>
          <w:color w:val="000000"/>
          <w:sz w:val="2"/>
          <w:szCs w:val="2"/>
          <w:highlight w:val="black"/>
          <w:rtl w:val="0"/>
        </w:rPr>
        <w:t xml:space="preserve"> </w:t>
      </w:r>
    </w:p>
    <w:p w:rsidR="00000000" w:rsidDel="00000000" w:rsidP="00000000" w:rsidRDefault="00000000" w:rsidRPr="00000000" w14:paraId="000000B5">
      <w:pPr>
        <w:jc w:val="center"/>
        <w:rPr>
          <w:rFonts w:ascii="Times New Roman" w:cs="Times New Roman" w:eastAsia="Times New Roman" w:hAnsi="Times New Roman"/>
          <w:color w:val="000000"/>
          <w:sz w:val="2"/>
          <w:szCs w:val="2"/>
          <w:highlight w:val="black"/>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METODE PEMBELAJARAN: </w:t>
      </w:r>
      <w:r w:rsidDel="00000000" w:rsidR="00000000" w:rsidRPr="00000000">
        <w:rPr>
          <w:rFonts w:ascii="Times New Roman" w:cs="Times New Roman" w:eastAsia="Times New Roman" w:hAnsi="Times New Roman"/>
          <w:sz w:val="28"/>
          <w:szCs w:val="28"/>
          <w:rtl w:val="0"/>
        </w:rPr>
        <w:t xml:space="preserve">Metode Klasikal, Research Based Learning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RENCANA PEMBELAJARAN</w:t>
      </w:r>
    </w:p>
    <w:tbl>
      <w:tblPr>
        <w:tblStyle w:val="Table2"/>
        <w:tblpPr w:leftFromText="181" w:rightFromText="181" w:topFromText="0" w:bottomFromText="0" w:vertAnchor="text" w:horzAnchor="text" w:tblpX="0" w:tblpY="1"/>
        <w:tblW w:w="141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977"/>
        <w:gridCol w:w="6356"/>
        <w:gridCol w:w="3714"/>
        <w:tblGridChange w:id="0">
          <w:tblGrid>
            <w:gridCol w:w="1129"/>
            <w:gridCol w:w="2977"/>
            <w:gridCol w:w="6356"/>
            <w:gridCol w:w="3714"/>
          </w:tblGrid>
        </w:tblGridChange>
      </w:tblGrid>
      <w:tr>
        <w:trPr>
          <w:cantSplit w:val="0"/>
          <w:tblHeader w:val="0"/>
        </w:trPr>
        <w:tc>
          <w:tcPr>
            <w:shd w:fill="d1cece" w:val="clear"/>
          </w:tcPr>
          <w:p w:rsidR="00000000" w:rsidDel="00000000" w:rsidP="00000000" w:rsidRDefault="00000000" w:rsidRPr="00000000" w14:paraId="000000C4">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Pekan</w:t>
            </w:r>
          </w:p>
        </w:tc>
        <w:tc>
          <w:tcPr>
            <w:shd w:fill="d1cece" w:val="clear"/>
          </w:tcPr>
          <w:p w:rsidR="00000000" w:rsidDel="00000000" w:rsidP="00000000" w:rsidRDefault="00000000" w:rsidRPr="00000000" w14:paraId="000000C5">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Kegiatan/Topik</w:t>
            </w:r>
          </w:p>
        </w:tc>
        <w:tc>
          <w:tcPr>
            <w:shd w:fill="d1cece" w:val="clear"/>
          </w:tcPr>
          <w:p w:rsidR="00000000" w:rsidDel="00000000" w:rsidP="00000000" w:rsidRDefault="00000000" w:rsidRPr="00000000" w14:paraId="000000C6">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Subtopik</w:t>
            </w:r>
          </w:p>
        </w:tc>
        <w:tc>
          <w:tcPr>
            <w:shd w:fill="d1cece" w:val="clear"/>
          </w:tcPr>
          <w:p w:rsidR="00000000" w:rsidDel="00000000" w:rsidP="00000000" w:rsidRDefault="00000000" w:rsidRPr="00000000" w14:paraId="000000C7">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r>
      <w:tr>
        <w:trPr>
          <w:cantSplit w:val="0"/>
          <w:tblHeader w:val="0"/>
        </w:trPr>
        <w:tc>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SDGs: current state and future challenge</w:t>
            </w: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r>
      <w:tr>
        <w:trPr>
          <w:cantSplit w:val="0"/>
          <w:tblHeader w:val="0"/>
        </w:trPr>
        <w:tc>
          <w:tcPr/>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Pembagian Kelompok</w:t>
            </w:r>
          </w:p>
        </w:tc>
        <w:tc>
          <w:tcPr/>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Energi Baru Terbarukan</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Konservasi Lingkungan,</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Keamanan Pangan </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Mitigasi Kesehatan.</w:t>
            </w:r>
          </w:p>
        </w:tc>
        <w:tc>
          <w:tcPr/>
          <w:p w:rsidR="00000000" w:rsidDel="00000000" w:rsidP="00000000" w:rsidRDefault="00000000" w:rsidRPr="00000000" w14:paraId="000000D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r>
      <w:tr>
        <w:trPr>
          <w:cantSplit w:val="0"/>
          <w:tblHeader w:val="0"/>
        </w:trPr>
        <w:tc>
          <w:tcPr/>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rtl w:val="0"/>
              </w:rPr>
              <w:t xml:space="preserve">Brainstorm issue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Energi Baru Terbarukan</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Konservasi Lingkungan,</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Keamanan Pangan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Mitigasi Kesehatan.</w:t>
            </w:r>
          </w:p>
        </w:tc>
        <w:tc>
          <w:tcPr/>
          <w:p w:rsidR="00000000" w:rsidDel="00000000" w:rsidP="00000000" w:rsidRDefault="00000000" w:rsidRPr="00000000" w14:paraId="000000D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r>
      <w:tr>
        <w:trPr>
          <w:cantSplit w:val="0"/>
          <w:tblHeader w:val="0"/>
        </w:trPr>
        <w:tc>
          <w:tcPr/>
          <w:p w:rsidR="00000000" w:rsidDel="00000000" w:rsidP="00000000" w:rsidRDefault="00000000" w:rsidRPr="00000000" w14:paraId="000000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Identifikasi/Rumusan masalah-Topik/ Bidang: </w:t>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ind w:left="274" w:hanging="27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Energi Baru Terbarukan</w:t>
            </w:r>
          </w:p>
          <w:p w:rsidR="00000000" w:rsidDel="00000000" w:rsidP="00000000" w:rsidRDefault="00000000" w:rsidRPr="00000000" w14:paraId="000000DF">
            <w:pPr>
              <w:numPr>
                <w:ilvl w:val="0"/>
                <w:numId w:val="3"/>
              </w:numPr>
              <w:pBdr>
                <w:top w:space="0" w:sz="0" w:val="nil"/>
                <w:left w:space="0" w:sz="0" w:val="nil"/>
                <w:bottom w:space="0" w:sz="0" w:val="nil"/>
                <w:right w:space="0" w:sz="0" w:val="nil"/>
                <w:between w:space="0" w:sz="0" w:val="nil"/>
              </w:pBdr>
              <w:ind w:left="274" w:hanging="27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Konservasi Lingkungan,</w:t>
            </w:r>
          </w:p>
          <w:p w:rsidR="00000000" w:rsidDel="00000000" w:rsidP="00000000" w:rsidRDefault="00000000" w:rsidRPr="00000000" w14:paraId="000000E0">
            <w:pPr>
              <w:numPr>
                <w:ilvl w:val="0"/>
                <w:numId w:val="3"/>
              </w:numPr>
              <w:pBdr>
                <w:top w:space="0" w:sz="0" w:val="nil"/>
                <w:left w:space="0" w:sz="0" w:val="nil"/>
                <w:bottom w:space="0" w:sz="0" w:val="nil"/>
                <w:right w:space="0" w:sz="0" w:val="nil"/>
                <w:between w:space="0" w:sz="0" w:val="nil"/>
              </w:pBdr>
              <w:ind w:left="274" w:hanging="27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Keamanan Pangan </w:t>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ind w:left="274" w:hanging="27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Mitigasi Kesehatan.</w:t>
            </w:r>
          </w:p>
        </w:tc>
        <w:tc>
          <w:tcPr/>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Identifikasi/Rumusan masalah</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Hipotesis</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Metode &amp; Pendekatan Solusi</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419"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E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1,2,3</w:t>
            </w:r>
          </w:p>
        </w:tc>
      </w:tr>
      <w:tr>
        <w:trPr>
          <w:cantSplit w:val="0"/>
          <w:tblHeader w:val="0"/>
        </w:trPr>
        <w:tc>
          <w:tcPr/>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Mitigasi Kesehatan</w:t>
            </w: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Identifikasi/Rumusan masalah</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Hipotesis</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Metode &amp; Pendekatan masalah</w:t>
            </w:r>
          </w:p>
        </w:tc>
        <w:tc>
          <w:tcPr/>
          <w:p w:rsidR="00000000" w:rsidDel="00000000" w:rsidP="00000000" w:rsidRDefault="00000000" w:rsidRPr="00000000" w14:paraId="000000E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1,2,3</w:t>
            </w:r>
          </w:p>
        </w:tc>
      </w:tr>
      <w:tr>
        <w:trPr>
          <w:cantSplit w:val="0"/>
          <w:tblHeader w:val="0"/>
        </w:trPr>
        <w:tc>
          <w:tcPr/>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w:t>
            </w:r>
          </w:p>
        </w:tc>
        <w:tc>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Keamanan Pangan</w:t>
            </w: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Identifikasi/Rumusan masalah</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Hipotesis</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Metode &amp; Pendekatan masalah</w:t>
            </w:r>
          </w:p>
        </w:tc>
        <w:tc>
          <w:tcPr/>
          <w:p w:rsidR="00000000" w:rsidDel="00000000" w:rsidP="00000000" w:rsidRDefault="00000000" w:rsidRPr="00000000" w14:paraId="000000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1,2,3</w:t>
            </w:r>
          </w:p>
        </w:tc>
      </w:tr>
      <w:tr>
        <w:trPr>
          <w:cantSplit w:val="0"/>
          <w:tblHeader w:val="0"/>
        </w:trPr>
        <w:tc>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w:t>
            </w:r>
          </w:p>
        </w:tc>
        <w:tc>
          <w:tcPr/>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Energi Baru &amp; Terbarukan/EBT</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Identifikasi/Rumusan masalah</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Hipotesis</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Metode &amp; Pendekatan masalah</w:t>
            </w:r>
          </w:p>
        </w:tc>
        <w:tc>
          <w:tcPr/>
          <w:p w:rsidR="00000000" w:rsidDel="00000000" w:rsidP="00000000" w:rsidRDefault="00000000" w:rsidRPr="00000000" w14:paraId="000000F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1,2,3</w:t>
            </w:r>
          </w:p>
        </w:tc>
      </w:tr>
      <w:tr>
        <w:trPr>
          <w:cantSplit w:val="0"/>
          <w:tblHeader w:val="0"/>
        </w:trPr>
        <w:tc>
          <w:tcPr/>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14-15</w:t>
            </w:r>
          </w:p>
        </w:tc>
        <w:tc>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Konservasi Lingkungan</w:t>
            </w: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Identifikasi/Rumusan masalah</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Hipotesis</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Metode &amp; Pendekatan masalah</w:t>
            </w:r>
          </w:p>
        </w:tc>
        <w:tc>
          <w:tcPr/>
          <w:p w:rsidR="00000000" w:rsidDel="00000000" w:rsidP="00000000" w:rsidRDefault="00000000" w:rsidRPr="00000000" w14:paraId="000001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1,2,3</w:t>
            </w:r>
          </w:p>
        </w:tc>
      </w:tr>
      <w:tr>
        <w:trPr>
          <w:cantSplit w:val="0"/>
          <w:tblHeader w:val="0"/>
        </w:trPr>
        <w:tc>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gridSpan w:val="3"/>
          </w:tcPr>
          <w:p w:rsidR="00000000" w:rsidDel="00000000" w:rsidP="00000000" w:rsidRDefault="00000000" w:rsidRPr="00000000" w14:paraId="000001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UAS (Presentasi)</w:t>
            </w:r>
            <w:r w:rsidDel="00000000" w:rsidR="00000000" w:rsidRPr="00000000">
              <w:rPr>
                <w:rtl w:val="0"/>
              </w:rPr>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Kriteria Penilaian (Evaluasi Hasil Pembelajaran)</w:t>
      </w:r>
    </w:p>
    <w:tbl>
      <w:tblPr>
        <w:tblStyle w:val="Table3"/>
        <w:tblW w:w="139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1701"/>
        <w:gridCol w:w="5670"/>
        <w:gridCol w:w="1984"/>
        <w:gridCol w:w="1985"/>
        <w:tblGridChange w:id="0">
          <w:tblGrid>
            <w:gridCol w:w="2655"/>
            <w:gridCol w:w="1701"/>
            <w:gridCol w:w="5670"/>
            <w:gridCol w:w="1984"/>
            <w:gridCol w:w="1985"/>
          </w:tblGrid>
        </w:tblGridChange>
      </w:tblGrid>
      <w:tr>
        <w:trPr>
          <w:cantSplit w:val="0"/>
          <w:tblHeader w:val="0"/>
        </w:trPr>
        <w:tc>
          <w:tcPr>
            <w:shd w:fill="d1cece" w:val="clear"/>
            <w:vAlign w:val="center"/>
          </w:tcPr>
          <w:p w:rsidR="00000000" w:rsidDel="00000000" w:rsidP="00000000" w:rsidRDefault="00000000" w:rsidRPr="00000000" w14:paraId="0000010A">
            <w:pPr>
              <w:spacing w:before="240" w:line="6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evaluasi</w:t>
            </w:r>
          </w:p>
        </w:tc>
        <w:tc>
          <w:tcPr>
            <w:shd w:fill="d1cece" w:val="clear"/>
            <w:vAlign w:val="center"/>
          </w:tcPr>
          <w:p w:rsidR="00000000" w:rsidDel="00000000" w:rsidP="00000000" w:rsidRDefault="00000000" w:rsidRPr="00000000" w14:paraId="0000010B">
            <w:pPr>
              <w:spacing w:before="240" w:line="6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shd w:fill="d1cece" w:val="clear"/>
            <w:vAlign w:val="center"/>
          </w:tcPr>
          <w:p w:rsidR="00000000" w:rsidDel="00000000" w:rsidP="00000000" w:rsidRDefault="00000000" w:rsidRPr="00000000" w14:paraId="0000010C">
            <w:pPr>
              <w:spacing w:before="240" w:line="6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Instrumen/Jenis Asesmen</w:t>
            </w:r>
          </w:p>
        </w:tc>
        <w:tc>
          <w:tcPr>
            <w:shd w:fill="d1cece" w:val="clear"/>
            <w:vAlign w:val="center"/>
          </w:tcPr>
          <w:p w:rsidR="00000000" w:rsidDel="00000000" w:rsidP="00000000" w:rsidRDefault="00000000" w:rsidRPr="00000000" w14:paraId="0000010D">
            <w:pPr>
              <w:spacing w:before="240" w:line="6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shd w:fill="d1cece" w:val="clear"/>
            <w:vAlign w:val="center"/>
          </w:tcPr>
          <w:p w:rsidR="00000000" w:rsidDel="00000000" w:rsidP="00000000" w:rsidRDefault="00000000" w:rsidRPr="00000000" w14:paraId="0000010E">
            <w:pPr>
              <w:spacing w:before="240" w:line="6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evaluasi</w:t>
            </w:r>
          </w:p>
        </w:tc>
      </w:tr>
      <w:tr>
        <w:trPr>
          <w:cantSplit w:val="0"/>
          <w:tblHeader w:val="0"/>
        </w:trPr>
        <w:tc>
          <w:tcPr>
            <w:vAlign w:val="center"/>
          </w:tcPr>
          <w:p w:rsidR="00000000" w:rsidDel="00000000" w:rsidP="00000000" w:rsidRDefault="00000000" w:rsidRPr="00000000" w14:paraId="0000010F">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mandiri/kelompok</w:t>
            </w:r>
          </w:p>
        </w:tc>
        <w:tc>
          <w:tcPr>
            <w:vAlign w:val="center"/>
          </w:tcPr>
          <w:p w:rsidR="00000000" w:rsidDel="00000000" w:rsidP="00000000" w:rsidRDefault="00000000" w:rsidRPr="00000000" w14:paraId="00000110">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1, 2, 3</w:t>
            </w:r>
          </w:p>
        </w:tc>
        <w:tc>
          <w:tcPr>
            <w:vAlign w:val="center"/>
          </w:tcPr>
          <w:p w:rsidR="00000000" w:rsidDel="00000000" w:rsidP="00000000" w:rsidRDefault="00000000" w:rsidRPr="00000000" w14:paraId="00000111">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Esai</w:t>
            </w:r>
          </w:p>
        </w:tc>
        <w:tc>
          <w:tcPr>
            <w:vAlign w:val="center"/>
          </w:tcPr>
          <w:p w:rsidR="00000000" w:rsidDel="00000000" w:rsidP="00000000" w:rsidRDefault="00000000" w:rsidRPr="00000000" w14:paraId="00000112">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center"/>
          </w:tcPr>
          <w:p w:rsidR="00000000" w:rsidDel="00000000" w:rsidP="00000000" w:rsidRDefault="00000000" w:rsidRPr="00000000" w14:paraId="00000113">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vAlign w:val="center"/>
          </w:tcPr>
          <w:p w:rsidR="00000000" w:rsidDel="00000000" w:rsidP="00000000" w:rsidRDefault="00000000" w:rsidRPr="00000000" w14:paraId="00000114">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Tengah Semester</w:t>
            </w:r>
          </w:p>
        </w:tc>
        <w:tc>
          <w:tcPr>
            <w:vAlign w:val="center"/>
          </w:tcPr>
          <w:p w:rsidR="00000000" w:rsidDel="00000000" w:rsidP="00000000" w:rsidRDefault="00000000" w:rsidRPr="00000000" w14:paraId="00000115">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1, 2, 3</w:t>
            </w:r>
          </w:p>
        </w:tc>
        <w:tc>
          <w:tcPr>
            <w:vAlign w:val="center"/>
          </w:tcPr>
          <w:p w:rsidR="00000000" w:rsidDel="00000000" w:rsidP="00000000" w:rsidRDefault="00000000" w:rsidRPr="00000000" w14:paraId="00000116">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Kemajuan</w:t>
            </w:r>
          </w:p>
        </w:tc>
        <w:tc>
          <w:tcPr>
            <w:vAlign w:val="center"/>
          </w:tcPr>
          <w:p w:rsidR="00000000" w:rsidDel="00000000" w:rsidP="00000000" w:rsidRDefault="00000000" w:rsidRPr="00000000" w14:paraId="00000117">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118">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vAlign w:val="center"/>
          </w:tcPr>
          <w:p w:rsidR="00000000" w:rsidDel="00000000" w:rsidP="00000000" w:rsidRDefault="00000000" w:rsidRPr="00000000" w14:paraId="00000119">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Akhir Semester</w:t>
            </w:r>
          </w:p>
        </w:tc>
        <w:tc>
          <w:tcPr>
            <w:vAlign w:val="center"/>
          </w:tcPr>
          <w:p w:rsidR="00000000" w:rsidDel="00000000" w:rsidP="00000000" w:rsidRDefault="00000000" w:rsidRPr="00000000" w14:paraId="0000011A">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1, 2, 3</w:t>
            </w:r>
          </w:p>
        </w:tc>
        <w:tc>
          <w:tcPr>
            <w:vAlign w:val="center"/>
          </w:tcPr>
          <w:p w:rsidR="00000000" w:rsidDel="00000000" w:rsidP="00000000" w:rsidRDefault="00000000" w:rsidRPr="00000000" w14:paraId="0000011B">
            <w:pPr>
              <w:spacing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akhir dan Presentasi</w:t>
            </w:r>
          </w:p>
        </w:tc>
        <w:tc>
          <w:tcPr>
            <w:vAlign w:val="center"/>
          </w:tcPr>
          <w:p w:rsidR="00000000" w:rsidDel="00000000" w:rsidP="00000000" w:rsidRDefault="00000000" w:rsidRPr="00000000" w14:paraId="0000011C">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11D">
            <w:pPr>
              <w:spacing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bl>
    <w:p w:rsidR="00000000" w:rsidDel="00000000" w:rsidP="00000000" w:rsidRDefault="00000000" w:rsidRPr="00000000" w14:paraId="0000011E">
      <w:pPr>
        <w:spacing w:after="40"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Formatif : Diskusi Kelas, Tugas Mandiri &amp; Kelompok</w:t>
      </w:r>
    </w:p>
    <w:p w:rsidR="00000000" w:rsidDel="00000000" w:rsidP="00000000" w:rsidRDefault="00000000" w:rsidRPr="00000000" w14:paraId="0000011F">
      <w:pPr>
        <w:spacing w:after="40" w:before="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after="40"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8"/>
          <w:szCs w:val="28"/>
          <w:rtl w:val="0"/>
        </w:rPr>
        <w:t xml:space="preserve">Rubrik</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Kriteria Nilai Tugas Mandiri, Ujian Tengah Semester dan Ujian Akhir Semester</w:t>
      </w:r>
    </w:p>
    <w:tbl>
      <w:tblPr>
        <w:tblStyle w:val="Table4"/>
        <w:tblW w:w="14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2440"/>
        <w:tblGridChange w:id="0">
          <w:tblGrid>
            <w:gridCol w:w="1980"/>
            <w:gridCol w:w="12440"/>
          </w:tblGrid>
        </w:tblGridChange>
      </w:tblGrid>
      <w:tr>
        <w:trPr>
          <w:cantSplit w:val="0"/>
          <w:tblHeader w:val="0"/>
        </w:trPr>
        <w:tc>
          <w:tcPr>
            <w:shd w:fill="d1cece" w:val="clear"/>
            <w:vAlign w:val="center"/>
          </w:tcPr>
          <w:p w:rsidR="00000000" w:rsidDel="00000000" w:rsidP="00000000" w:rsidRDefault="00000000" w:rsidRPr="00000000" w14:paraId="00000122">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w:t>
            </w:r>
          </w:p>
        </w:tc>
        <w:tc>
          <w:tcPr>
            <w:shd w:fill="d1cece" w:val="clear"/>
            <w:vAlign w:val="center"/>
          </w:tcPr>
          <w:p w:rsidR="00000000" w:rsidDel="00000000" w:rsidP="00000000" w:rsidRDefault="00000000" w:rsidRPr="00000000" w14:paraId="00000123">
            <w:pPr>
              <w:spacing w:before="24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Kualitas Jawaban</w:t>
            </w:r>
          </w:p>
        </w:tc>
      </w:tr>
      <w:tr>
        <w:trPr>
          <w:cantSplit w:val="0"/>
          <w:tblHeader w:val="0"/>
        </w:trPr>
        <w:tc>
          <w:tcPr>
            <w:vAlign w:val="center"/>
          </w:tcPr>
          <w:p w:rsidR="00000000" w:rsidDel="00000000" w:rsidP="00000000" w:rsidRDefault="00000000" w:rsidRPr="00000000" w14:paraId="0000012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1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mampu menganalisa</w:t>
            </w:r>
            <w:r w:rsidDel="00000000" w:rsidR="00000000" w:rsidRPr="00000000">
              <w:rPr>
                <w:rFonts w:ascii="Times New Roman" w:cs="Times New Roman" w:eastAsia="Times New Roman" w:hAnsi="Times New Roman"/>
                <w:rtl w:val="0"/>
              </w:rPr>
              <w:t xml:space="preserve"> berdasarkan logika sains yang tepat dan referensi perkembangan sains dan matematika lengkap.</w:t>
            </w:r>
          </w:p>
        </w:tc>
      </w:tr>
      <w:tr>
        <w:trPr>
          <w:cantSplit w:val="0"/>
          <w:tblHeader w:val="0"/>
        </w:trPr>
        <w:tc>
          <w:tcPr>
            <w:vAlign w:val="center"/>
          </w:tcPr>
          <w:p w:rsidR="00000000" w:rsidDel="00000000" w:rsidP="00000000" w:rsidRDefault="00000000" w:rsidRPr="00000000" w14:paraId="0000012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75-84</w:t>
            </w:r>
          </w:p>
        </w:tc>
        <w:tc>
          <w:tcPr>
            <w:vAlign w:val="center"/>
          </w:tcPr>
          <w:p w:rsidR="00000000" w:rsidDel="00000000" w:rsidP="00000000" w:rsidRDefault="00000000" w:rsidRPr="00000000" w14:paraId="0000012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mampu menganalisa</w:t>
            </w:r>
            <w:r w:rsidDel="00000000" w:rsidR="00000000" w:rsidRPr="00000000">
              <w:rPr>
                <w:rFonts w:ascii="Times New Roman" w:cs="Times New Roman" w:eastAsia="Times New Roman" w:hAnsi="Times New Roman"/>
                <w:rtl w:val="0"/>
              </w:rPr>
              <w:t xml:space="preserve"> berdasarkan logika sains yang tepat walaupun dengan referensi perkembangan sains dan matematika kurang lengkap.</w:t>
            </w:r>
          </w:p>
        </w:tc>
      </w:tr>
      <w:tr>
        <w:trPr>
          <w:cantSplit w:val="0"/>
          <w:tblHeader w:val="0"/>
        </w:trPr>
        <w:tc>
          <w:tcPr>
            <w:vAlign w:val="center"/>
          </w:tcPr>
          <w:p w:rsidR="00000000" w:rsidDel="00000000" w:rsidP="00000000" w:rsidRDefault="00000000" w:rsidRPr="00000000" w14:paraId="0000012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65-74</w:t>
            </w:r>
          </w:p>
        </w:tc>
        <w:tc>
          <w:tcPr>
            <w:vAlign w:val="center"/>
          </w:tcPr>
          <w:p w:rsidR="00000000" w:rsidDel="00000000" w:rsidP="00000000" w:rsidRDefault="00000000" w:rsidRPr="00000000" w14:paraId="0000012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kurang mampu menganalisa</w:t>
            </w:r>
            <w:r w:rsidDel="00000000" w:rsidR="00000000" w:rsidRPr="00000000">
              <w:rPr>
                <w:rFonts w:ascii="Times New Roman" w:cs="Times New Roman" w:eastAsia="Times New Roman" w:hAnsi="Times New Roman"/>
                <w:rtl w:val="0"/>
              </w:rPr>
              <w:t xml:space="preserve"> berdasarkan logika sains yang tepat dan referensi perkembangan sains dan matematika </w:t>
            </w:r>
            <w:r w:rsidDel="00000000" w:rsidR="00000000" w:rsidRPr="00000000">
              <w:rPr>
                <w:rFonts w:ascii="Times New Roman" w:cs="Times New Roman" w:eastAsia="Times New Roman" w:hAnsi="Times New Roman"/>
                <w:u w:val="single"/>
                <w:rtl w:val="0"/>
              </w:rPr>
              <w:t xml:space="preserve">kurang lengkap</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12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50-64</w:t>
            </w:r>
          </w:p>
        </w:tc>
        <w:tc>
          <w:tcPr>
            <w:vAlign w:val="center"/>
          </w:tcPr>
          <w:p w:rsidR="00000000" w:rsidDel="00000000" w:rsidP="00000000" w:rsidRDefault="00000000" w:rsidRPr="00000000" w14:paraId="000001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tidak mampu menganalisa</w:t>
            </w:r>
            <w:r w:rsidDel="00000000" w:rsidR="00000000" w:rsidRPr="00000000">
              <w:rPr>
                <w:rFonts w:ascii="Times New Roman" w:cs="Times New Roman" w:eastAsia="Times New Roman" w:hAnsi="Times New Roman"/>
                <w:rtl w:val="0"/>
              </w:rPr>
              <w:t xml:space="preserve"> berdasarkan logika sains yang tepat dan referensi perkembangan sains dan matematika </w:t>
            </w:r>
            <w:r w:rsidDel="00000000" w:rsidR="00000000" w:rsidRPr="00000000">
              <w:rPr>
                <w:rFonts w:ascii="Times New Roman" w:cs="Times New Roman" w:eastAsia="Times New Roman" w:hAnsi="Times New Roman"/>
                <w:u w:val="single"/>
                <w:rtl w:val="0"/>
              </w:rPr>
              <w:t xml:space="preserve">kurang lengkap</w:t>
            </w: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12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&lt;50</w:t>
            </w:r>
          </w:p>
        </w:tc>
        <w:tc>
          <w:tcPr>
            <w:vAlign w:val="center"/>
          </w:tcPr>
          <w:p w:rsidR="00000000" w:rsidDel="00000000" w:rsidP="00000000" w:rsidRDefault="00000000" w:rsidRPr="00000000" w14:paraId="000001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tidak mampu menganalisa</w:t>
            </w:r>
            <w:r w:rsidDel="00000000" w:rsidR="00000000" w:rsidRPr="00000000">
              <w:rPr>
                <w:rFonts w:ascii="Times New Roman" w:cs="Times New Roman" w:eastAsia="Times New Roman" w:hAnsi="Times New Roman"/>
                <w:rtl w:val="0"/>
              </w:rPr>
              <w:t xml:space="preserve"> berdasarkan logika sains yang tepat dan referensi perkembangan sains dan matematika </w:t>
            </w:r>
            <w:r w:rsidDel="00000000" w:rsidR="00000000" w:rsidRPr="00000000">
              <w:rPr>
                <w:rFonts w:ascii="Times New Roman" w:cs="Times New Roman" w:eastAsia="Times New Roman" w:hAnsi="Times New Roman"/>
                <w:u w:val="single"/>
                <w:rtl w:val="0"/>
              </w:rPr>
              <w:t xml:space="preserve">tidak ada</w:t>
            </w: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60" w:line="259" w:lineRule="auto"/>
        <w:ind w:left="144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REFERENSI</w:t>
      </w:r>
    </w:p>
    <w:p w:rsidR="00000000" w:rsidDel="00000000" w:rsidP="00000000" w:rsidRDefault="00000000" w:rsidRPr="00000000" w14:paraId="00000130">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United Nations. (n.d.). </w:t>
      </w:r>
      <w:r w:rsidDel="00000000" w:rsidR="00000000" w:rsidRPr="00000000">
        <w:rPr>
          <w:rFonts w:ascii="Times New Roman" w:cs="Times New Roman" w:eastAsia="Times New Roman" w:hAnsi="Times New Roman"/>
          <w:b w:val="1"/>
          <w:i w:val="1"/>
          <w:rtl w:val="0"/>
        </w:rPr>
        <w:t xml:space="preserve">Sustainable Development Goals</w:t>
      </w:r>
      <w:r w:rsidDel="00000000" w:rsidR="00000000" w:rsidRPr="00000000">
        <w:rPr>
          <w:rFonts w:ascii="Times New Roman" w:cs="Times New Roman" w:eastAsia="Times New Roman" w:hAnsi="Times New Roman"/>
          <w:b w:val="1"/>
          <w:rtl w:val="0"/>
        </w:rPr>
        <w:t xml:space="preserve">. Retrieved November 17, 2024, from </w:t>
      </w:r>
      <w:hyperlink r:id="rId8">
        <w:r w:rsidDel="00000000" w:rsidR="00000000" w:rsidRPr="00000000">
          <w:rPr>
            <w:rFonts w:ascii="Times New Roman" w:cs="Times New Roman" w:eastAsia="Times New Roman" w:hAnsi="Times New Roman"/>
            <w:b w:val="1"/>
            <w:color w:val="1155cc"/>
            <w:u w:val="single"/>
            <w:rtl w:val="0"/>
          </w:rPr>
          <w:t xml:space="preserve">https://sdgs.un.org/goals</w:t>
        </w:r>
      </w:hyperlink>
      <w:r w:rsidDel="00000000" w:rsidR="00000000" w:rsidRPr="00000000">
        <w:rPr>
          <w:rtl w:val="0"/>
        </w:rPr>
      </w:r>
    </w:p>
    <w:p w:rsidR="00000000" w:rsidDel="00000000" w:rsidP="00000000" w:rsidRDefault="00000000" w:rsidRPr="00000000" w14:paraId="00000131">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Murray, J.D. (2002). </w:t>
      </w:r>
      <w:r w:rsidDel="00000000" w:rsidR="00000000" w:rsidRPr="00000000">
        <w:rPr>
          <w:rFonts w:ascii="Times New Roman" w:cs="Times New Roman" w:eastAsia="Times New Roman" w:hAnsi="Times New Roman"/>
          <w:b w:val="1"/>
          <w:i w:val="1"/>
          <w:rtl w:val="0"/>
        </w:rPr>
        <w:t xml:space="preserve">Mathematical Biology I: An Introduction</w:t>
      </w:r>
      <w:r w:rsidDel="00000000" w:rsidR="00000000" w:rsidRPr="00000000">
        <w:rPr>
          <w:rFonts w:ascii="Times New Roman" w:cs="Times New Roman" w:eastAsia="Times New Roman" w:hAnsi="Times New Roman"/>
          <w:b w:val="1"/>
          <w:rtl w:val="0"/>
        </w:rPr>
        <w:t xml:space="preserve"> (3rd ed.). Springer. Murray, J.D. (2003). </w:t>
      </w:r>
      <w:r w:rsidDel="00000000" w:rsidR="00000000" w:rsidRPr="00000000">
        <w:rPr>
          <w:rFonts w:ascii="Times New Roman" w:cs="Times New Roman" w:eastAsia="Times New Roman" w:hAnsi="Times New Roman"/>
          <w:b w:val="1"/>
          <w:i w:val="1"/>
          <w:rtl w:val="0"/>
        </w:rPr>
        <w:t xml:space="preserve">Mathematical Biology II: Spatial Models and Biomedical Applications</w:t>
      </w:r>
      <w:r w:rsidDel="00000000" w:rsidR="00000000" w:rsidRPr="00000000">
        <w:rPr>
          <w:rFonts w:ascii="Times New Roman" w:cs="Times New Roman" w:eastAsia="Times New Roman" w:hAnsi="Times New Roman"/>
          <w:b w:val="1"/>
          <w:rtl w:val="0"/>
        </w:rPr>
        <w:t xml:space="preserve"> (3rd ed.). Springer.</w:t>
      </w:r>
    </w:p>
    <w:p w:rsidR="00000000" w:rsidDel="00000000" w:rsidP="00000000" w:rsidRDefault="00000000" w:rsidRPr="00000000" w14:paraId="00000132">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Times New Roman" w:cs="Times New Roman" w:eastAsia="Times New Roman" w:hAnsi="Times New Roman"/>
          <w:b w:val="1"/>
          <w:u w:val="none"/>
        </w:rPr>
      </w:pPr>
      <w:r w:rsidDel="00000000" w:rsidR="00000000" w:rsidRPr="00000000">
        <w:rPr>
          <w:rFonts w:ascii="Arial" w:cs="Arial" w:eastAsia="Arial" w:hAnsi="Arial"/>
          <w:b w:val="1"/>
          <w:color w:val="222222"/>
          <w:sz w:val="20"/>
          <w:szCs w:val="20"/>
          <w:highlight w:val="white"/>
          <w:rtl w:val="0"/>
        </w:rPr>
        <w:t xml:space="preserve">Fowler, A. C. (1997). </w:t>
      </w:r>
      <w:r w:rsidDel="00000000" w:rsidR="00000000" w:rsidRPr="00000000">
        <w:rPr>
          <w:rFonts w:ascii="Arial" w:cs="Arial" w:eastAsia="Arial" w:hAnsi="Arial"/>
          <w:b w:val="1"/>
          <w:i w:val="1"/>
          <w:color w:val="222222"/>
          <w:sz w:val="20"/>
          <w:szCs w:val="20"/>
          <w:rtl w:val="0"/>
        </w:rPr>
        <w:t xml:space="preserve">Mathematical models in the applied sciences</w:t>
      </w:r>
      <w:r w:rsidDel="00000000" w:rsidR="00000000" w:rsidRPr="00000000">
        <w:rPr>
          <w:rFonts w:ascii="Arial" w:cs="Arial" w:eastAsia="Arial" w:hAnsi="Arial"/>
          <w:b w:val="1"/>
          <w:color w:val="222222"/>
          <w:sz w:val="20"/>
          <w:szCs w:val="20"/>
          <w:highlight w:val="white"/>
          <w:rtl w:val="0"/>
        </w:rPr>
        <w:t xml:space="preserve"> (Vol. 17). Cambridge University Press.</w:t>
      </w:r>
      <w:r w:rsidDel="00000000" w:rsidR="00000000" w:rsidRPr="00000000">
        <w:rPr>
          <w:rtl w:val="0"/>
        </w:rPr>
      </w:r>
    </w:p>
    <w:p w:rsidR="00000000" w:rsidDel="00000000" w:rsidP="00000000" w:rsidRDefault="00000000" w:rsidRPr="00000000" w14:paraId="00000133">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Times New Roman" w:cs="Times New Roman" w:eastAsia="Times New Roman" w:hAnsi="Times New Roman"/>
          <w:b w:val="1"/>
          <w:u w:val="none"/>
        </w:rPr>
      </w:pPr>
      <w:r w:rsidDel="00000000" w:rsidR="00000000" w:rsidRPr="00000000">
        <w:rPr>
          <w:rFonts w:ascii="Arial" w:cs="Arial" w:eastAsia="Arial" w:hAnsi="Arial"/>
          <w:b w:val="1"/>
          <w:color w:val="222222"/>
          <w:sz w:val="20"/>
          <w:szCs w:val="20"/>
          <w:highlight w:val="white"/>
          <w:rtl w:val="0"/>
        </w:rPr>
        <w:t xml:space="preserve">Stone, M., &amp; Goldbart, P. (2009). </w:t>
      </w:r>
      <w:r w:rsidDel="00000000" w:rsidR="00000000" w:rsidRPr="00000000">
        <w:rPr>
          <w:rFonts w:ascii="Arial" w:cs="Arial" w:eastAsia="Arial" w:hAnsi="Arial"/>
          <w:b w:val="1"/>
          <w:i w:val="1"/>
          <w:color w:val="222222"/>
          <w:sz w:val="20"/>
          <w:szCs w:val="20"/>
          <w:rtl w:val="0"/>
        </w:rPr>
        <w:t xml:space="preserve">Mathematics for physics: a guided tour for graduate students</w:t>
      </w:r>
      <w:r w:rsidDel="00000000" w:rsidR="00000000" w:rsidRPr="00000000">
        <w:rPr>
          <w:rFonts w:ascii="Arial" w:cs="Arial" w:eastAsia="Arial" w:hAnsi="Arial"/>
          <w:b w:val="1"/>
          <w:color w:val="222222"/>
          <w:sz w:val="20"/>
          <w:szCs w:val="20"/>
          <w:highlight w:val="white"/>
          <w:rtl w:val="0"/>
        </w:rPr>
        <w:t xml:space="preserve">. Cambridge University Press.</w:t>
      </w:r>
    </w:p>
    <w:p w:rsidR="00000000" w:rsidDel="00000000" w:rsidP="00000000" w:rsidRDefault="00000000" w:rsidRPr="00000000" w14:paraId="00000134">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Arial" w:cs="Arial" w:eastAsia="Arial" w:hAnsi="Arial"/>
          <w:b w:val="1"/>
          <w:color w:val="222222"/>
          <w:sz w:val="20"/>
          <w:szCs w:val="20"/>
          <w:highlight w:val="white"/>
          <w:u w:val="none"/>
        </w:rPr>
      </w:pPr>
      <w:r w:rsidDel="00000000" w:rsidR="00000000" w:rsidRPr="00000000">
        <w:rPr>
          <w:rFonts w:ascii="Arial" w:cs="Arial" w:eastAsia="Arial" w:hAnsi="Arial"/>
          <w:b w:val="1"/>
          <w:color w:val="222222"/>
          <w:sz w:val="20"/>
          <w:szCs w:val="20"/>
          <w:highlight w:val="white"/>
          <w:rtl w:val="0"/>
        </w:rPr>
        <w:t xml:space="preserve">Peter B.. Kahn. (1990). </w:t>
      </w:r>
      <w:r w:rsidDel="00000000" w:rsidR="00000000" w:rsidRPr="00000000">
        <w:rPr>
          <w:rFonts w:ascii="Arial" w:cs="Arial" w:eastAsia="Arial" w:hAnsi="Arial"/>
          <w:b w:val="1"/>
          <w:i w:val="1"/>
          <w:color w:val="222222"/>
          <w:sz w:val="20"/>
          <w:szCs w:val="20"/>
          <w:highlight w:val="white"/>
          <w:rtl w:val="0"/>
        </w:rPr>
        <w:t xml:space="preserve">Mathematical methods for scientists and engineers: linear and nonlinear systems</w:t>
      </w:r>
      <w:r w:rsidDel="00000000" w:rsidR="00000000" w:rsidRPr="00000000">
        <w:rPr>
          <w:rFonts w:ascii="Arial" w:cs="Arial" w:eastAsia="Arial" w:hAnsi="Arial"/>
          <w:b w:val="1"/>
          <w:color w:val="222222"/>
          <w:sz w:val="20"/>
          <w:szCs w:val="20"/>
          <w:highlight w:val="white"/>
          <w:rtl w:val="0"/>
        </w:rPr>
        <w:t xml:space="preserve">. Wiley.</w:t>
      </w:r>
    </w:p>
    <w:p w:rsidR="00000000" w:rsidDel="00000000" w:rsidP="00000000" w:rsidRDefault="00000000" w:rsidRPr="00000000" w14:paraId="00000135">
      <w:pPr>
        <w:numPr>
          <w:ilvl w:val="0"/>
          <w:numId w:val="5"/>
        </w:numPr>
        <w:pBdr>
          <w:top w:space="0" w:sz="0" w:val="nil"/>
          <w:left w:space="0" w:sz="0" w:val="nil"/>
          <w:bottom w:space="0" w:sz="0" w:val="nil"/>
          <w:right w:space="0" w:sz="0" w:val="nil"/>
          <w:between w:space="0" w:sz="0" w:val="nil"/>
        </w:pBdr>
        <w:spacing w:after="0" w:afterAutospacing="0" w:line="259" w:lineRule="auto"/>
        <w:ind w:left="720" w:hanging="360"/>
        <w:rPr>
          <w:rFonts w:ascii="Arial" w:cs="Arial" w:eastAsia="Arial" w:hAnsi="Arial"/>
          <w:b w:val="1"/>
          <w:color w:val="222222"/>
          <w:sz w:val="20"/>
          <w:szCs w:val="20"/>
          <w:highlight w:val="white"/>
          <w:u w:val="none"/>
        </w:rPr>
      </w:pPr>
      <w:r w:rsidDel="00000000" w:rsidR="00000000" w:rsidRPr="00000000">
        <w:rPr>
          <w:rFonts w:ascii="Arial" w:cs="Arial" w:eastAsia="Arial" w:hAnsi="Arial"/>
          <w:b w:val="1"/>
          <w:color w:val="222222"/>
          <w:sz w:val="20"/>
          <w:szCs w:val="20"/>
          <w:highlight w:val="white"/>
          <w:rtl w:val="0"/>
        </w:rPr>
        <w:t xml:space="preserve">Chiles, J. P., &amp; Delfiner, P. (2012). </w:t>
      </w:r>
      <w:r w:rsidDel="00000000" w:rsidR="00000000" w:rsidRPr="00000000">
        <w:rPr>
          <w:rFonts w:ascii="Arial" w:cs="Arial" w:eastAsia="Arial" w:hAnsi="Arial"/>
          <w:b w:val="1"/>
          <w:i w:val="1"/>
          <w:color w:val="222222"/>
          <w:sz w:val="20"/>
          <w:szCs w:val="20"/>
          <w:highlight w:val="white"/>
          <w:rtl w:val="0"/>
        </w:rPr>
        <w:t xml:space="preserve">Geostatistics: modeling spatial uncertainty</w:t>
      </w:r>
      <w:r w:rsidDel="00000000" w:rsidR="00000000" w:rsidRPr="00000000">
        <w:rPr>
          <w:rFonts w:ascii="Arial" w:cs="Arial" w:eastAsia="Arial" w:hAnsi="Arial"/>
          <w:b w:val="1"/>
          <w:color w:val="222222"/>
          <w:sz w:val="20"/>
          <w:szCs w:val="20"/>
          <w:highlight w:val="white"/>
          <w:rtl w:val="0"/>
        </w:rPr>
        <w:t xml:space="preserve"> (Vol. 713). John Wiley &amp; Sons.</w:t>
      </w:r>
    </w:p>
    <w:p w:rsidR="00000000" w:rsidDel="00000000" w:rsidP="00000000" w:rsidRDefault="00000000" w:rsidRPr="00000000" w14:paraId="00000136">
      <w:pPr>
        <w:numPr>
          <w:ilvl w:val="0"/>
          <w:numId w:val="5"/>
        </w:numPr>
        <w:spacing w:after="40" w:before="40" w:lineRule="auto"/>
        <w:ind w:left="720" w:hanging="360"/>
        <w:jc w:val="both"/>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Artikel-artikel jurnal ilmiah terkini</w:t>
      </w:r>
    </w:p>
    <w:p w:rsidR="00000000" w:rsidDel="00000000" w:rsidP="00000000" w:rsidRDefault="00000000" w:rsidRPr="00000000" w14:paraId="00000137">
      <w:pPr>
        <w:numPr>
          <w:ilvl w:val="0"/>
          <w:numId w:val="5"/>
        </w:numPr>
        <w:spacing w:after="40" w:before="40" w:lineRule="auto"/>
        <w:ind w:left="720" w:hanging="360"/>
        <w:jc w:val="both"/>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Buku teks dan monograf terkait dengan topik khusus</w:t>
      </w:r>
      <w:r w:rsidDel="00000000" w:rsidR="00000000" w:rsidRPr="00000000">
        <w:rPr>
          <w:rtl w:val="0"/>
        </w:rPr>
      </w:r>
    </w:p>
    <w:sectPr>
      <w:pgSz w:h="11900" w:w="16840" w:orient="landscape"/>
      <w:pgMar w:bottom="803" w:top="109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35" w:hanging="375"/>
      </w:pPr>
      <w:rPr>
        <w:rFonts w:ascii="Noto Sans Symbols" w:cs="Noto Sans Symbols" w:eastAsia="Noto Sans Symbols" w:hAnsi="Noto Sans Symbols"/>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C73DAE"/>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224E40"/>
    <w:rPr>
      <w:color w:val="0000ff" w:themeColor="hyperlink"/>
      <w:u w:val="single"/>
    </w:rPr>
  </w:style>
  <w:style w:type="character" w:styleId="UnresolvedMention1" w:customStyle="1">
    <w:name w:val="Unresolved Mention1"/>
    <w:basedOn w:val="DefaultParagraphFont"/>
    <w:uiPriority w:val="99"/>
    <w:semiHidden w:val="1"/>
    <w:unhideWhenUsed w:val="1"/>
    <w:rsid w:val="00224E40"/>
    <w:rPr>
      <w:color w:val="605e5c"/>
      <w:shd w:color="auto" w:fill="e1dfdd" w:val="clear"/>
    </w:rPr>
  </w:style>
  <w:style w:type="paragraph" w:styleId="Header">
    <w:name w:val="header"/>
    <w:basedOn w:val="Normal"/>
    <w:link w:val="HeaderChar"/>
    <w:uiPriority w:val="99"/>
    <w:unhideWhenUsed w:val="1"/>
    <w:rsid w:val="00B411D6"/>
    <w:pPr>
      <w:tabs>
        <w:tab w:val="center" w:pos="4252"/>
        <w:tab w:val="right" w:pos="8504"/>
      </w:tabs>
    </w:pPr>
  </w:style>
  <w:style w:type="character" w:styleId="HeaderChar" w:customStyle="1">
    <w:name w:val="Header Char"/>
    <w:basedOn w:val="DefaultParagraphFont"/>
    <w:link w:val="Header"/>
    <w:uiPriority w:val="99"/>
    <w:rsid w:val="00B411D6"/>
  </w:style>
  <w:style w:type="paragraph" w:styleId="Footer">
    <w:name w:val="footer"/>
    <w:basedOn w:val="Normal"/>
    <w:link w:val="FooterChar"/>
    <w:uiPriority w:val="99"/>
    <w:unhideWhenUsed w:val="1"/>
    <w:rsid w:val="00B411D6"/>
    <w:pPr>
      <w:tabs>
        <w:tab w:val="center" w:pos="4252"/>
        <w:tab w:val="right" w:pos="8504"/>
      </w:tabs>
    </w:pPr>
  </w:style>
  <w:style w:type="character" w:styleId="FooterChar" w:customStyle="1">
    <w:name w:val="Footer Char"/>
    <w:basedOn w:val="DefaultParagraphFont"/>
    <w:link w:val="Footer"/>
    <w:uiPriority w:val="99"/>
    <w:rsid w:val="00B411D6"/>
  </w:style>
  <w:style w:type="paragraph" w:styleId="ListParagraph">
    <w:name w:val="List Paragraph"/>
    <w:basedOn w:val="Normal"/>
    <w:uiPriority w:val="34"/>
    <w:qFormat w:val="1"/>
    <w:rsid w:val="00144B2F"/>
    <w:pPr>
      <w:ind w:left="720"/>
      <w:contextualSpacing w:val="1"/>
    </w:pPr>
  </w:style>
  <w:style w:type="table" w:styleId="TableGrid">
    <w:name w:val="Table Grid"/>
    <w:basedOn w:val="TableNormal"/>
    <w:uiPriority w:val="39"/>
    <w:rsid w:val="00886B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D77E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77E9"/>
    <w:rPr>
      <w:rFonts w:ascii="Segoe UI" w:cs="Segoe UI" w:hAnsi="Segoe UI"/>
      <w:sz w:val="18"/>
      <w:szCs w:val="18"/>
    </w:rPr>
  </w:style>
  <w:style w:type="character" w:styleId="CommentReference">
    <w:name w:val="annotation reference"/>
    <w:basedOn w:val="DefaultParagraphFont"/>
    <w:uiPriority w:val="99"/>
    <w:semiHidden w:val="1"/>
    <w:unhideWhenUsed w:val="1"/>
    <w:rsid w:val="00DE214E"/>
    <w:rPr>
      <w:sz w:val="18"/>
      <w:szCs w:val="18"/>
    </w:rPr>
  </w:style>
  <w:style w:type="paragraph" w:styleId="CommentText">
    <w:name w:val="annotation text"/>
    <w:basedOn w:val="Normal"/>
    <w:link w:val="CommentTextChar"/>
    <w:uiPriority w:val="99"/>
    <w:semiHidden w:val="1"/>
    <w:unhideWhenUsed w:val="1"/>
    <w:rsid w:val="00DE214E"/>
  </w:style>
  <w:style w:type="character" w:styleId="CommentTextChar" w:customStyle="1">
    <w:name w:val="Comment Text Char"/>
    <w:basedOn w:val="DefaultParagraphFont"/>
    <w:link w:val="CommentText"/>
    <w:uiPriority w:val="99"/>
    <w:semiHidden w:val="1"/>
    <w:rsid w:val="00DE214E"/>
  </w:style>
  <w:style w:type="paragraph" w:styleId="CommentSubject">
    <w:name w:val="annotation subject"/>
    <w:basedOn w:val="CommentText"/>
    <w:next w:val="CommentText"/>
    <w:link w:val="CommentSubjectChar"/>
    <w:uiPriority w:val="99"/>
    <w:semiHidden w:val="1"/>
    <w:unhideWhenUsed w:val="1"/>
    <w:rsid w:val="00DE214E"/>
    <w:rPr>
      <w:b w:val="1"/>
      <w:bCs w:val="1"/>
    </w:rPr>
  </w:style>
  <w:style w:type="character" w:styleId="CommentSubjectChar" w:customStyle="1">
    <w:name w:val="Comment Subject Char"/>
    <w:basedOn w:val="CommentTextChar"/>
    <w:link w:val="CommentSubject"/>
    <w:uiPriority w:val="99"/>
    <w:semiHidden w:val="1"/>
    <w:rsid w:val="00DE214E"/>
    <w:rPr>
      <w:b w:val="1"/>
      <w:bCs w:val="1"/>
    </w:rPr>
  </w:style>
  <w:style w:type="paragraph" w:styleId="Default" w:customStyle="1">
    <w:name w:val="Default"/>
    <w:rsid w:val="008F066E"/>
    <w:pPr>
      <w:autoSpaceDE w:val="0"/>
      <w:autoSpaceDN w:val="0"/>
      <w:adjustRightInd w:val="0"/>
    </w:pPr>
    <w:rPr>
      <w:rFonts w:ascii="Symbol" w:cs="Symbol" w:hAnsi="Symbol"/>
      <w:color w:val="000000"/>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E74419"/>
    <w:pPr>
      <w:spacing w:after="100" w:afterAutospacing="1" w:before="100" w:beforeAutospacing="1"/>
    </w:pPr>
    <w:rPr>
      <w:rFonts w:ascii="Times New Roman" w:cs="Times New Roman" w:eastAsia="Times New Roman" w:hAnsi="Times New Roman"/>
      <w:lang w:val="en-ID"/>
    </w:rPr>
  </w:style>
  <w:style w:type="character" w:styleId="UnresolvedMention">
    <w:name w:val="Unresolved Mention"/>
    <w:basedOn w:val="DefaultParagraphFont"/>
    <w:uiPriority w:val="99"/>
    <w:semiHidden w:val="1"/>
    <w:unhideWhenUsed w:val="1"/>
    <w:rsid w:val="00E9604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dgs.un.org/goa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s4urWtsUlvtrc+qgz+GtvhjNw==">CgMxLjAyCGguZ2pkZ3hzOAByITFKdHFJVzdHNmRUOGR6R3dJTTJiZktnWWtQUDUtekdfbw==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2024-11-16T04:08:00Z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